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1326F584"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717AB0">
        <w:rPr>
          <w:rFonts w:ascii="Arial" w:hAnsi="Arial" w:cs="Arial"/>
          <w:b/>
        </w:rPr>
        <w:t>5</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59276B">
        <w:rPr>
          <w:rFonts w:ascii="Arial" w:hAnsi="Arial" w:cs="Arial"/>
          <w:b/>
          <w:bCs/>
        </w:rPr>
        <w:t>2</w:t>
      </w:r>
      <w:r w:rsidR="00B66D53">
        <w:rPr>
          <w:rFonts w:ascii="Arial" w:hAnsi="Arial" w:cs="Arial"/>
          <w:b/>
          <w:bCs/>
        </w:rPr>
        <w:t>18667</w:t>
      </w:r>
    </w:p>
    <w:p w14:paraId="59393CAD" w14:textId="2BC29DCF" w:rsidR="00967981" w:rsidRPr="006F2997" w:rsidRDefault="006F6F79" w:rsidP="00967981">
      <w:pPr>
        <w:tabs>
          <w:tab w:val="left" w:pos="3106"/>
          <w:tab w:val="center" w:pos="4536"/>
          <w:tab w:val="right" w:pos="9072"/>
        </w:tabs>
        <w:jc w:val="both"/>
        <w:rPr>
          <w:rFonts w:ascii="Arial" w:hAnsi="Arial" w:cs="Arial"/>
          <w:b/>
          <w:bCs/>
        </w:rPr>
      </w:pPr>
      <w:r w:rsidRPr="006F6F79">
        <w:rPr>
          <w:rFonts w:ascii="Arial" w:hAnsi="Arial" w:cs="Arial"/>
          <w:b/>
          <w:bCs/>
        </w:rPr>
        <w:t>Toulouse, France,</w:t>
      </w:r>
      <w:r w:rsidR="00840223" w:rsidRPr="006F2997">
        <w:rPr>
          <w:rFonts w:ascii="Arial" w:hAnsi="Arial" w:cs="Arial"/>
          <w:b/>
          <w:bCs/>
        </w:rPr>
        <w:t xml:space="preserve"> </w:t>
      </w:r>
      <w:bookmarkStart w:id="1" w:name="_Hlk117781962"/>
      <w:r w:rsidR="00717AB0">
        <w:rPr>
          <w:rFonts w:ascii="Arial" w:eastAsia="宋体" w:hAnsi="Arial" w:cs="Arial"/>
          <w:b/>
          <w:szCs w:val="36"/>
        </w:rPr>
        <w:t>Nov</w:t>
      </w:r>
      <w:r w:rsidR="0078045A">
        <w:rPr>
          <w:rFonts w:ascii="Arial" w:eastAsia="宋体" w:hAnsi="Arial" w:cs="Arial"/>
          <w:b/>
          <w:szCs w:val="36"/>
        </w:rPr>
        <w:t xml:space="preserve"> 1</w:t>
      </w:r>
      <w:r w:rsidR="006D3F69">
        <w:rPr>
          <w:rFonts w:ascii="Arial" w:eastAsia="宋体" w:hAnsi="Arial" w:cs="Arial"/>
          <w:b/>
          <w:szCs w:val="36"/>
        </w:rPr>
        <w:t>4</w:t>
      </w:r>
      <w:r w:rsidR="004733FC" w:rsidRPr="00B57BD1">
        <w:rPr>
          <w:rFonts w:ascii="Arial" w:eastAsia="宋体" w:hAnsi="Arial" w:cs="Arial"/>
          <w:b/>
          <w:szCs w:val="36"/>
        </w:rPr>
        <w:t xml:space="preserve"> –</w:t>
      </w:r>
      <w:r w:rsidR="0078045A">
        <w:rPr>
          <w:rFonts w:ascii="Arial" w:eastAsia="宋体" w:hAnsi="Arial" w:cs="Arial"/>
          <w:b/>
          <w:szCs w:val="36"/>
        </w:rPr>
        <w:t xml:space="preserve"> </w:t>
      </w:r>
      <w:r w:rsidR="006D3F69">
        <w:rPr>
          <w:rFonts w:ascii="Arial" w:eastAsia="宋体" w:hAnsi="Arial" w:cs="Arial"/>
          <w:b/>
          <w:szCs w:val="36"/>
        </w:rPr>
        <w:t>Nov</w:t>
      </w:r>
      <w:r w:rsidR="004733FC" w:rsidRPr="00B57BD1">
        <w:rPr>
          <w:rFonts w:ascii="Arial" w:eastAsia="宋体" w:hAnsi="Arial" w:cs="Arial"/>
          <w:b/>
          <w:szCs w:val="36"/>
        </w:rPr>
        <w:t xml:space="preserve"> </w:t>
      </w:r>
      <w:r w:rsidR="006D3F69">
        <w:rPr>
          <w:rFonts w:ascii="Arial" w:eastAsia="宋体" w:hAnsi="Arial" w:cs="Arial"/>
          <w:b/>
          <w:szCs w:val="36"/>
        </w:rPr>
        <w:t>18</w:t>
      </w:r>
      <w:bookmarkEnd w:id="1"/>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03D9AB6B" w14:textId="77777777" w:rsidR="00B71217" w:rsidRPr="00967981" w:rsidRDefault="00B71217" w:rsidP="00B71217">
      <w:pPr>
        <w:tabs>
          <w:tab w:val="left" w:pos="1985"/>
        </w:tabs>
        <w:rPr>
          <w:b/>
          <w:sz w:val="22"/>
        </w:rPr>
      </w:pPr>
    </w:p>
    <w:p w14:paraId="5091D0EE" w14:textId="3A663183"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EA6BDD">
        <w:rPr>
          <w:sz w:val="22"/>
        </w:rPr>
        <w:t>8.13.4.4</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41A34003"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RRM</w:t>
      </w:r>
      <w:r w:rsidR="00BF0ACE" w:rsidRPr="00BF0ACE">
        <w:t xml:space="preserve"> </w:t>
      </w:r>
      <w:r w:rsidR="00BF0ACE" w:rsidRPr="00BF0ACE">
        <w:rPr>
          <w:sz w:val="22"/>
        </w:rPr>
        <w:t>Signalling characteristics</w:t>
      </w:r>
      <w:r w:rsidR="00586F7A">
        <w:rPr>
          <w:sz w:val="22"/>
        </w:rPr>
        <w:t xml:space="preserve"> requirements for ATG</w:t>
      </w:r>
      <w:bookmarkEnd w:id="3"/>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4A9075A5"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RAN4#104</w:t>
      </w:r>
      <w:r w:rsidR="006D3F69">
        <w:rPr>
          <w:sz w:val="20"/>
          <w:szCs w:val="20"/>
        </w:rPr>
        <w:t>-bis</w:t>
      </w:r>
      <w:r w:rsidR="00C21779">
        <w:rPr>
          <w:sz w:val="20"/>
          <w:szCs w:val="20"/>
        </w:rPr>
        <w:t>-e meeting,</w:t>
      </w:r>
      <w:r w:rsidR="006D3F69">
        <w:rPr>
          <w:sz w:val="20"/>
          <w:szCs w:val="20"/>
        </w:rPr>
        <w:t xml:space="preserve"> ATG </w:t>
      </w:r>
      <w:r w:rsidR="008D2718">
        <w:rPr>
          <w:sz w:val="20"/>
          <w:szCs w:val="20"/>
        </w:rPr>
        <w:t xml:space="preserve">basic assumptions and ATG </w:t>
      </w:r>
      <w:r w:rsidR="006D3F69">
        <w:rPr>
          <w:sz w:val="20"/>
          <w:szCs w:val="20"/>
        </w:rPr>
        <w:t>impactions were discussed,</w:t>
      </w:r>
      <w:r w:rsidR="00C21779">
        <w:rPr>
          <w:sz w:val="20"/>
          <w:szCs w:val="20"/>
        </w:rPr>
        <w:t xml:space="preserve"> </w:t>
      </w:r>
      <w:r w:rsidR="00616DA5">
        <w:rPr>
          <w:sz w:val="20"/>
          <w:szCs w:val="20"/>
        </w:rPr>
        <w:t xml:space="preserve">RRM </w:t>
      </w:r>
      <w:r w:rsidR="00A85C49">
        <w:rPr>
          <w:sz w:val="20"/>
          <w:szCs w:val="20"/>
        </w:rPr>
        <w:t>requirements</w:t>
      </w:r>
      <w:r w:rsidR="00616DA5">
        <w:rPr>
          <w:sz w:val="20"/>
          <w:szCs w:val="20"/>
        </w:rPr>
        <w:t xml:space="preserve"> h</w:t>
      </w:r>
      <w:r w:rsidR="00715574">
        <w:rPr>
          <w:rFonts w:hint="eastAsia"/>
          <w:sz w:val="20"/>
          <w:szCs w:val="20"/>
        </w:rPr>
        <w:t>a</w:t>
      </w:r>
      <w:r w:rsidR="00715574">
        <w:rPr>
          <w:sz w:val="20"/>
          <w:szCs w:val="20"/>
        </w:rPr>
        <w:t>ve</w:t>
      </w:r>
      <w:r w:rsidR="00616DA5">
        <w:rPr>
          <w:sz w:val="20"/>
          <w:szCs w:val="20"/>
        </w:rPr>
        <w:t xml:space="preserve"> been</w:t>
      </w:r>
      <w:r w:rsidR="006D3F69">
        <w:rPr>
          <w:sz w:val="20"/>
          <w:szCs w:val="20"/>
        </w:rPr>
        <w:t xml:space="preserve"> further</w:t>
      </w:r>
      <w:r w:rsidR="00616DA5">
        <w:rPr>
          <w:sz w:val="20"/>
          <w:szCs w:val="20"/>
        </w:rPr>
        <w:t xml:space="preserve"> </w:t>
      </w:r>
      <w:r w:rsidR="00A85C49">
        <w:rPr>
          <w:sz w:val="20"/>
          <w:szCs w:val="20"/>
        </w:rPr>
        <w:t>down-scoped</w:t>
      </w:r>
      <w:r w:rsidR="006D3F6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w:t>
      </w:r>
      <w:r w:rsidR="00BF0ACE" w:rsidRPr="00BF0ACE">
        <w:t xml:space="preserve"> </w:t>
      </w:r>
      <w:r w:rsidR="00BF0ACE">
        <w:rPr>
          <w:sz w:val="20"/>
          <w:szCs w:val="20"/>
        </w:rPr>
        <w:t>s</w:t>
      </w:r>
      <w:r w:rsidR="00BF0ACE" w:rsidRPr="00BF0ACE">
        <w:rPr>
          <w:sz w:val="20"/>
          <w:szCs w:val="20"/>
        </w:rPr>
        <w:t>ignalling characteristics</w:t>
      </w:r>
      <w:r w:rsidR="006865C6">
        <w:rPr>
          <w:sz w:val="20"/>
          <w:szCs w:val="20"/>
        </w:rPr>
        <w:t xml:space="preserve"> impaction on ATG</w:t>
      </w:r>
      <w:r w:rsidR="00902C36">
        <w:rPr>
          <w:sz w:val="20"/>
          <w:szCs w:val="20"/>
        </w:rPr>
        <w:t>.</w:t>
      </w:r>
    </w:p>
    <w:p w14:paraId="13F227CF" w14:textId="77777777" w:rsidR="00005EEF" w:rsidRPr="00BF0ACE" w:rsidRDefault="00005EEF" w:rsidP="00BF0AC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sidRPr="00BF0ACE">
        <w:rPr>
          <w:rFonts w:ascii="Times New Roman" w:hAnsi="Times New Roman"/>
          <w:b w:val="0"/>
          <w:bCs w:val="0"/>
          <w:kern w:val="0"/>
          <w:sz w:val="36"/>
          <w:szCs w:val="36"/>
          <w:lang w:val="en-GB"/>
        </w:rPr>
        <w:t>Signalling characteristics</w:t>
      </w:r>
    </w:p>
    <w:p w14:paraId="777FA31F" w14:textId="40AF6AC2" w:rsidR="00584994" w:rsidRPr="00584994" w:rsidRDefault="00584994" w:rsidP="00584994">
      <w:pPr>
        <w:spacing w:beforeLines="100" w:before="312"/>
        <w:rPr>
          <w:rFonts w:eastAsia="等线" w:cs="Symbol"/>
          <w:b/>
          <w:i/>
          <w:iCs/>
          <w:sz w:val="20"/>
          <w:szCs w:val="20"/>
          <w:u w:val="single"/>
          <w:lang w:eastAsia="ko-KR"/>
        </w:rPr>
      </w:pPr>
      <w:r w:rsidRPr="00584994">
        <w:rPr>
          <w:rFonts w:eastAsia="等线" w:cs="Symbol"/>
          <w:b/>
          <w:i/>
          <w:iCs/>
          <w:sz w:val="20"/>
          <w:szCs w:val="20"/>
          <w:u w:val="single"/>
          <w:lang w:eastAsia="ko-KR"/>
        </w:rPr>
        <w:t>Issue 4-1-3: Active BWP switching delay</w:t>
      </w:r>
    </w:p>
    <w:p w14:paraId="76A1C1B6" w14:textId="77777777" w:rsidR="00584994" w:rsidRPr="00584994" w:rsidRDefault="00584994" w:rsidP="00584994">
      <w:pPr>
        <w:numPr>
          <w:ilvl w:val="0"/>
          <w:numId w:val="25"/>
        </w:numPr>
        <w:ind w:left="935" w:hanging="357"/>
        <w:rPr>
          <w:rFonts w:eastAsia="宋体"/>
          <w:i/>
          <w:iCs/>
          <w:sz w:val="20"/>
          <w:szCs w:val="20"/>
        </w:rPr>
      </w:pPr>
      <w:r w:rsidRPr="00584994">
        <w:rPr>
          <w:rFonts w:eastAsia="宋体"/>
          <w:i/>
          <w:iCs/>
          <w:sz w:val="20"/>
          <w:szCs w:val="20"/>
        </w:rPr>
        <w:t>No need to define interruptions due to active BWP in section 8.2 of TS 38.133 for NR serving cells for EN-DC and NE-DC.</w:t>
      </w:r>
    </w:p>
    <w:p w14:paraId="36916139" w14:textId="77777777" w:rsidR="00584994" w:rsidRPr="00584994" w:rsidRDefault="00584994" w:rsidP="00584994">
      <w:pPr>
        <w:numPr>
          <w:ilvl w:val="0"/>
          <w:numId w:val="25"/>
        </w:numPr>
        <w:ind w:left="935" w:hanging="357"/>
        <w:rPr>
          <w:rFonts w:eastAsia="宋体"/>
          <w:i/>
          <w:iCs/>
          <w:sz w:val="20"/>
          <w:szCs w:val="20"/>
        </w:rPr>
      </w:pPr>
      <w:r w:rsidRPr="00584994">
        <w:rPr>
          <w:rFonts w:eastAsia="宋体"/>
          <w:i/>
          <w:iCs/>
          <w:sz w:val="20"/>
          <w:szCs w:val="20"/>
        </w:rPr>
        <w:t>FFS:</w:t>
      </w:r>
    </w:p>
    <w:p w14:paraId="024B9629" w14:textId="77777777" w:rsidR="00584994" w:rsidRPr="00584994" w:rsidRDefault="00584994" w:rsidP="00584994">
      <w:pPr>
        <w:numPr>
          <w:ilvl w:val="1"/>
          <w:numId w:val="25"/>
        </w:numPr>
        <w:rPr>
          <w:rFonts w:eastAsia="宋体"/>
          <w:i/>
          <w:iCs/>
          <w:sz w:val="20"/>
          <w:szCs w:val="20"/>
        </w:rPr>
      </w:pPr>
      <w:r w:rsidRPr="00584994">
        <w:rPr>
          <w:rFonts w:eastAsia="宋体"/>
          <w:i/>
          <w:iCs/>
          <w:sz w:val="20"/>
          <w:szCs w:val="20"/>
        </w:rPr>
        <w:t>Option 1: Reuse the legacy Active BWP switching delay requirement for ATG. (CMCC, CATT, ZTE, HW)</w:t>
      </w:r>
    </w:p>
    <w:p w14:paraId="28CC5D31" w14:textId="77777777" w:rsidR="00584994" w:rsidRPr="00584994" w:rsidRDefault="00584994" w:rsidP="00584994">
      <w:pPr>
        <w:numPr>
          <w:ilvl w:val="1"/>
          <w:numId w:val="25"/>
        </w:numPr>
        <w:rPr>
          <w:rFonts w:eastAsia="宋体"/>
          <w:i/>
          <w:iCs/>
          <w:sz w:val="20"/>
          <w:szCs w:val="20"/>
        </w:rPr>
      </w:pPr>
      <w:r w:rsidRPr="00584994">
        <w:rPr>
          <w:rFonts w:eastAsia="宋体" w:hint="eastAsia"/>
          <w:i/>
          <w:iCs/>
          <w:sz w:val="20"/>
          <w:szCs w:val="20"/>
        </w:rPr>
        <w:t>O</w:t>
      </w:r>
      <w:r w:rsidRPr="00584994">
        <w:rPr>
          <w:rFonts w:eastAsia="宋体"/>
          <w:i/>
          <w:iCs/>
          <w:sz w:val="20"/>
          <w:szCs w:val="20"/>
        </w:rPr>
        <w:t>ption 2: Existing active BWP switching requirements (excluding simultaneous and non-simultaneous BWP switching delay on multiple CCs) defined are reused for ATG. (Ericsson)</w:t>
      </w:r>
    </w:p>
    <w:p w14:paraId="312F2196" w14:textId="05DA97F2" w:rsidR="0038044E" w:rsidRDefault="0038044E" w:rsidP="00D03D70">
      <w:pPr>
        <w:autoSpaceDN w:val="0"/>
        <w:spacing w:before="60"/>
        <w:jc w:val="both"/>
        <w:rPr>
          <w:rFonts w:eastAsia="宋体"/>
          <w:sz w:val="20"/>
          <w:szCs w:val="20"/>
        </w:rPr>
      </w:pPr>
      <w:r>
        <w:rPr>
          <w:rFonts w:eastAsia="宋体" w:hint="eastAsia"/>
          <w:sz w:val="20"/>
          <w:szCs w:val="20"/>
        </w:rPr>
        <w:t>F</w:t>
      </w:r>
      <w:r>
        <w:rPr>
          <w:rFonts w:eastAsia="宋体"/>
          <w:sz w:val="20"/>
          <w:szCs w:val="20"/>
        </w:rPr>
        <w:t>rom the perspective of requirement application, we agree with Option 2 that only the requirement of single CC will be applied to ATG, since R18 ATG network will not support CA/DC.</w:t>
      </w:r>
    </w:p>
    <w:p w14:paraId="7FAAD32E" w14:textId="228F40C9" w:rsidR="0038044E" w:rsidRDefault="0038044E" w:rsidP="00D03D70">
      <w:pPr>
        <w:autoSpaceDN w:val="0"/>
        <w:spacing w:before="60"/>
        <w:jc w:val="both"/>
        <w:rPr>
          <w:rFonts w:eastAsia="宋体"/>
          <w:sz w:val="20"/>
          <w:szCs w:val="20"/>
        </w:rPr>
      </w:pPr>
      <w:r>
        <w:rPr>
          <w:rFonts w:eastAsia="宋体"/>
          <w:sz w:val="20"/>
          <w:szCs w:val="20"/>
        </w:rPr>
        <w:t>From the perspective of specification documentation, we support Option 1 to r</w:t>
      </w:r>
      <w:r w:rsidRPr="0038044E">
        <w:rPr>
          <w:rFonts w:eastAsia="宋体"/>
          <w:sz w:val="20"/>
          <w:szCs w:val="20"/>
        </w:rPr>
        <w:t>euse the legacy Active BWP switching delay requirement</w:t>
      </w:r>
      <w:r>
        <w:rPr>
          <w:rFonts w:eastAsia="宋体"/>
          <w:sz w:val="20"/>
          <w:szCs w:val="20"/>
        </w:rPr>
        <w:t xml:space="preserve">. The </w:t>
      </w:r>
      <w:r w:rsidRPr="0038044E">
        <w:rPr>
          <w:rFonts w:eastAsia="宋体"/>
          <w:sz w:val="20"/>
          <w:szCs w:val="20"/>
        </w:rPr>
        <w:t>legacy Active BWP switching delay requirement</w:t>
      </w:r>
      <w:r>
        <w:rPr>
          <w:rFonts w:eastAsia="宋体"/>
          <w:sz w:val="20"/>
          <w:szCs w:val="20"/>
        </w:rPr>
        <w:t xml:space="preserve"> is a whole-set, ATG network will naturally use the requirement of single CC, according to its network deployment.</w:t>
      </w:r>
    </w:p>
    <w:p w14:paraId="3FD3A8A2" w14:textId="0875CE13" w:rsidR="00A12103" w:rsidRPr="00D03D70" w:rsidRDefault="00A12103" w:rsidP="00A12103">
      <w:pPr>
        <w:tabs>
          <w:tab w:val="left" w:pos="1134"/>
        </w:tabs>
        <w:spacing w:before="60"/>
        <w:jc w:val="both"/>
        <w:rPr>
          <w:rFonts w:eastAsia="等线"/>
          <w:b/>
          <w:bCs/>
          <w:i/>
          <w:iCs/>
          <w:sz w:val="20"/>
          <w:szCs w:val="20"/>
        </w:rPr>
      </w:pPr>
      <w:bookmarkStart w:id="9" w:name="_Hlk117601664"/>
      <w:r>
        <w:rPr>
          <w:rFonts w:eastAsia="等线" w:hint="eastAsia"/>
          <w:b/>
          <w:bCs/>
          <w:i/>
          <w:iCs/>
          <w:sz w:val="20"/>
          <w:szCs w:val="20"/>
        </w:rPr>
        <w:t>P</w:t>
      </w:r>
      <w:r>
        <w:rPr>
          <w:rFonts w:eastAsia="等线"/>
          <w:b/>
          <w:bCs/>
          <w:i/>
          <w:iCs/>
          <w:sz w:val="20"/>
          <w:szCs w:val="20"/>
        </w:rPr>
        <w:t xml:space="preserve">roposal </w:t>
      </w:r>
      <w:r w:rsidR="00BF0ACE">
        <w:rPr>
          <w:rFonts w:eastAsia="等线"/>
          <w:b/>
          <w:bCs/>
          <w:i/>
          <w:iCs/>
          <w:sz w:val="20"/>
          <w:szCs w:val="20"/>
        </w:rPr>
        <w:t>1</w:t>
      </w:r>
      <w:r>
        <w:rPr>
          <w:rFonts w:eastAsia="等线"/>
          <w:b/>
          <w:bCs/>
          <w:i/>
          <w:iCs/>
          <w:sz w:val="20"/>
          <w:szCs w:val="20"/>
        </w:rPr>
        <w:t>: T</w:t>
      </w:r>
      <w:r w:rsidRPr="00A12103">
        <w:rPr>
          <w:rFonts w:eastAsia="等线"/>
          <w:b/>
          <w:bCs/>
          <w:i/>
          <w:iCs/>
          <w:sz w:val="20"/>
          <w:szCs w:val="20"/>
        </w:rPr>
        <w:t>he legacy Active BWP switching delay requirement</w:t>
      </w:r>
      <w:r>
        <w:rPr>
          <w:rFonts w:eastAsia="等线"/>
          <w:b/>
          <w:bCs/>
          <w:i/>
          <w:iCs/>
          <w:sz w:val="20"/>
          <w:szCs w:val="20"/>
        </w:rPr>
        <w:t xml:space="preserve"> can be reused, </w:t>
      </w:r>
      <w:r w:rsidRPr="00A12103">
        <w:rPr>
          <w:rFonts w:eastAsia="等线"/>
          <w:b/>
          <w:bCs/>
          <w:i/>
          <w:iCs/>
          <w:sz w:val="20"/>
          <w:szCs w:val="20"/>
        </w:rPr>
        <w:t>ATG network will naturally use the requirement of single CC, according to its network deployment.</w:t>
      </w:r>
    </w:p>
    <w:bookmarkEnd w:id="9"/>
    <w:p w14:paraId="541412C1" w14:textId="77777777" w:rsidR="001C7D2F" w:rsidRPr="001C7D2F" w:rsidRDefault="001C7D2F" w:rsidP="001C7D2F">
      <w:pPr>
        <w:spacing w:beforeLines="100" w:before="312"/>
        <w:rPr>
          <w:rFonts w:eastAsia="等线" w:cs="Symbol"/>
          <w:b/>
          <w:i/>
          <w:iCs/>
          <w:sz w:val="20"/>
          <w:szCs w:val="20"/>
          <w:u w:val="single"/>
          <w:lang w:eastAsia="ko-KR"/>
        </w:rPr>
      </w:pPr>
      <w:r w:rsidRPr="001C7D2F">
        <w:rPr>
          <w:rFonts w:eastAsia="等线" w:cs="Symbol"/>
          <w:b/>
          <w:i/>
          <w:iCs/>
          <w:sz w:val="20"/>
          <w:szCs w:val="20"/>
          <w:u w:val="single"/>
          <w:lang w:eastAsia="ko-KR"/>
        </w:rPr>
        <w:t>Issue 4-1-</w:t>
      </w:r>
      <w:r w:rsidRPr="001C7D2F">
        <w:rPr>
          <w:rFonts w:eastAsia="等线" w:cs="Symbol" w:hint="eastAsia"/>
          <w:b/>
          <w:i/>
          <w:iCs/>
          <w:sz w:val="20"/>
          <w:szCs w:val="20"/>
          <w:u w:val="single"/>
          <w:lang w:eastAsia="ko-KR"/>
        </w:rPr>
        <w:t>5</w:t>
      </w:r>
      <w:r w:rsidRPr="001C7D2F">
        <w:rPr>
          <w:rFonts w:eastAsia="等线" w:cs="Symbol"/>
          <w:b/>
          <w:i/>
          <w:iCs/>
          <w:sz w:val="20"/>
          <w:szCs w:val="20"/>
          <w:u w:val="single"/>
          <w:lang w:eastAsia="ko-KR"/>
        </w:rPr>
        <w:t>: Active TCI state switching delay</w:t>
      </w:r>
      <w:r w:rsidRPr="001C7D2F">
        <w:rPr>
          <w:rFonts w:eastAsia="等线" w:cs="Symbol" w:hint="eastAsia"/>
          <w:b/>
          <w:i/>
          <w:iCs/>
          <w:sz w:val="20"/>
          <w:szCs w:val="20"/>
          <w:u w:val="single"/>
          <w:lang w:eastAsia="ko-KR"/>
        </w:rPr>
        <w:t>,</w:t>
      </w:r>
      <w:r w:rsidRPr="001C7D2F">
        <w:rPr>
          <w:rFonts w:eastAsia="等线" w:cs="Symbol"/>
          <w:b/>
          <w:i/>
          <w:iCs/>
          <w:sz w:val="20"/>
          <w:szCs w:val="20"/>
          <w:u w:val="single"/>
          <w:lang w:eastAsia="ko-KR"/>
        </w:rPr>
        <w:t xml:space="preserve"> Active downlink TCI state switching delay for unified TCI, Active uplink TCI state switching delay for unified TCI</w:t>
      </w:r>
    </w:p>
    <w:p w14:paraId="21204E15" w14:textId="77777777" w:rsidR="001C7D2F" w:rsidRPr="001C7D2F" w:rsidRDefault="001C7D2F" w:rsidP="001C7D2F">
      <w:pPr>
        <w:numPr>
          <w:ilvl w:val="0"/>
          <w:numId w:val="25"/>
        </w:numPr>
        <w:ind w:left="935" w:hanging="357"/>
        <w:rPr>
          <w:rFonts w:eastAsia="宋体" w:cs="Symbol"/>
          <w:i/>
          <w:iCs/>
          <w:sz w:val="20"/>
          <w:szCs w:val="20"/>
        </w:rPr>
      </w:pPr>
      <w:r w:rsidRPr="001C7D2F">
        <w:rPr>
          <w:rFonts w:eastAsia="宋体" w:cs="Symbol" w:hint="eastAsia"/>
          <w:i/>
          <w:iCs/>
          <w:sz w:val="20"/>
          <w:szCs w:val="20"/>
        </w:rPr>
        <w:t>R</w:t>
      </w:r>
      <w:r w:rsidRPr="001C7D2F">
        <w:rPr>
          <w:rFonts w:eastAsia="宋体" w:cs="Symbol"/>
          <w:i/>
          <w:iCs/>
          <w:sz w:val="20"/>
          <w:szCs w:val="20"/>
        </w:rPr>
        <w:t xml:space="preserve">euse the legacy Active TCI state switching delay requirement for ATG. </w:t>
      </w:r>
    </w:p>
    <w:p w14:paraId="6F60388B" w14:textId="77777777" w:rsidR="001C7D2F" w:rsidRPr="001C7D2F" w:rsidRDefault="001C7D2F" w:rsidP="001C7D2F">
      <w:pPr>
        <w:numPr>
          <w:ilvl w:val="0"/>
          <w:numId w:val="25"/>
        </w:numPr>
        <w:ind w:left="935" w:hanging="357"/>
        <w:rPr>
          <w:rFonts w:eastAsia="宋体" w:cs="Symbol"/>
          <w:i/>
          <w:iCs/>
          <w:sz w:val="20"/>
          <w:szCs w:val="20"/>
        </w:rPr>
      </w:pPr>
      <w:r w:rsidRPr="001C7D2F">
        <w:rPr>
          <w:rFonts w:eastAsia="宋体" w:cs="Symbol"/>
          <w:i/>
          <w:iCs/>
          <w:sz w:val="20"/>
          <w:szCs w:val="20"/>
        </w:rPr>
        <w:t>Further check Active downlink TCI state switching delay for unified TCI, Active uplink TCI state switching delay measurement requirement.</w:t>
      </w:r>
    </w:p>
    <w:p w14:paraId="69E8EAA2" w14:textId="77777777" w:rsidR="001C7D2F" w:rsidRPr="009637E6" w:rsidRDefault="001C7D2F" w:rsidP="001C7D2F">
      <w:pPr>
        <w:autoSpaceDN w:val="0"/>
        <w:spacing w:before="60"/>
        <w:jc w:val="both"/>
        <w:rPr>
          <w:rFonts w:eastAsia="宋体"/>
          <w:sz w:val="20"/>
          <w:szCs w:val="20"/>
        </w:rPr>
      </w:pPr>
      <w:r>
        <w:rPr>
          <w:rFonts w:eastAsia="宋体"/>
          <w:sz w:val="20"/>
          <w:szCs w:val="20"/>
        </w:rPr>
        <w:t>After checking, we haven’t identified the ATG impaction on above requirements, we propose to reuse the corresponding legacy requirement for ATG.</w:t>
      </w:r>
    </w:p>
    <w:p w14:paraId="277E2923" w14:textId="0CD083EA" w:rsidR="001C7D2F" w:rsidRPr="00C56DCA" w:rsidRDefault="001C7D2F" w:rsidP="001C7D2F">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BF0ACE">
        <w:rPr>
          <w:rFonts w:eastAsia="等线"/>
          <w:b/>
          <w:bCs/>
          <w:i/>
          <w:iCs/>
          <w:sz w:val="20"/>
          <w:szCs w:val="20"/>
        </w:rPr>
        <w:t>2</w:t>
      </w:r>
      <w:r w:rsidRPr="00055A4E">
        <w:rPr>
          <w:rFonts w:eastAsia="等线"/>
          <w:b/>
          <w:bCs/>
          <w:i/>
          <w:iCs/>
          <w:sz w:val="20"/>
          <w:szCs w:val="20"/>
        </w:rPr>
        <w:t>:</w:t>
      </w:r>
      <w:r>
        <w:rPr>
          <w:rFonts w:eastAsia="等线"/>
          <w:b/>
          <w:bCs/>
          <w:i/>
          <w:iCs/>
          <w:sz w:val="20"/>
          <w:szCs w:val="20"/>
        </w:rPr>
        <w:t xml:space="preserve"> Reuse the legacy </w:t>
      </w:r>
      <w:r w:rsidRPr="009637E6">
        <w:rPr>
          <w:rFonts w:eastAsia="等线"/>
          <w:b/>
          <w:bCs/>
          <w:i/>
          <w:iCs/>
          <w:sz w:val="20"/>
          <w:szCs w:val="20"/>
        </w:rPr>
        <w:t>Active downlink TCI state switching delay for unified TCI</w:t>
      </w:r>
      <w:r>
        <w:rPr>
          <w:rFonts w:eastAsia="等线"/>
          <w:b/>
          <w:bCs/>
          <w:i/>
          <w:iCs/>
          <w:sz w:val="20"/>
          <w:szCs w:val="20"/>
        </w:rPr>
        <w:t xml:space="preserve"> and </w:t>
      </w:r>
      <w:r w:rsidRPr="009637E6">
        <w:rPr>
          <w:rFonts w:eastAsia="等线"/>
          <w:b/>
          <w:bCs/>
          <w:i/>
          <w:iCs/>
          <w:sz w:val="20"/>
          <w:szCs w:val="20"/>
        </w:rPr>
        <w:t>Active uplink TCI state switching delay for unified TCI</w:t>
      </w:r>
      <w:r>
        <w:rPr>
          <w:rFonts w:eastAsia="等线"/>
          <w:b/>
          <w:bCs/>
          <w:i/>
          <w:iCs/>
          <w:sz w:val="20"/>
          <w:szCs w:val="20"/>
        </w:rPr>
        <w:t xml:space="preserve"> requirement for ATG.</w:t>
      </w:r>
    </w:p>
    <w:p w14:paraId="7E71BA7C" w14:textId="77777777" w:rsidR="00A0616A" w:rsidRPr="00A0616A" w:rsidRDefault="00A0616A" w:rsidP="00A0616A">
      <w:pPr>
        <w:spacing w:beforeLines="100" w:before="312"/>
        <w:rPr>
          <w:rFonts w:eastAsia="等线" w:cs="Symbol"/>
          <w:b/>
          <w:i/>
          <w:iCs/>
          <w:sz w:val="20"/>
          <w:szCs w:val="20"/>
          <w:u w:val="single"/>
          <w:lang w:eastAsia="ko-KR"/>
        </w:rPr>
      </w:pPr>
      <w:r w:rsidRPr="00A0616A">
        <w:rPr>
          <w:rFonts w:eastAsia="等线" w:cs="Symbol"/>
          <w:b/>
          <w:i/>
          <w:iCs/>
          <w:sz w:val="20"/>
          <w:szCs w:val="20"/>
          <w:u w:val="single"/>
          <w:lang w:eastAsia="ko-KR"/>
        </w:rPr>
        <w:t>Issue 4-1-6: Pathloss reference signal switching delay</w:t>
      </w:r>
    </w:p>
    <w:p w14:paraId="6C0C1B42" w14:textId="77777777" w:rsidR="00A0616A" w:rsidRPr="00A0616A" w:rsidRDefault="00A0616A" w:rsidP="00A0616A">
      <w:pPr>
        <w:numPr>
          <w:ilvl w:val="0"/>
          <w:numId w:val="25"/>
        </w:numPr>
        <w:ind w:left="935" w:hanging="357"/>
        <w:rPr>
          <w:rFonts w:eastAsia="宋体" w:cs="Symbol"/>
          <w:i/>
          <w:iCs/>
          <w:sz w:val="20"/>
          <w:szCs w:val="20"/>
        </w:rPr>
      </w:pPr>
      <w:r w:rsidRPr="00A0616A">
        <w:rPr>
          <w:rFonts w:eastAsia="宋体" w:cs="Symbol"/>
          <w:i/>
          <w:iCs/>
          <w:sz w:val="20"/>
          <w:szCs w:val="20"/>
        </w:rPr>
        <w:lastRenderedPageBreak/>
        <w:t>Option 1: Reuse the legacy Pathloss reference signal switching delay requirement for ATG. (CMCC, HW, ZTE, CATT)</w:t>
      </w:r>
    </w:p>
    <w:p w14:paraId="277EA8B1" w14:textId="77777777" w:rsidR="00A0616A" w:rsidRPr="00A0616A" w:rsidRDefault="00A0616A" w:rsidP="00A0616A">
      <w:pPr>
        <w:numPr>
          <w:ilvl w:val="0"/>
          <w:numId w:val="25"/>
        </w:numPr>
        <w:ind w:left="935" w:hanging="357"/>
        <w:rPr>
          <w:rFonts w:eastAsia="宋体" w:cs="Symbol"/>
          <w:i/>
          <w:iCs/>
          <w:sz w:val="20"/>
          <w:szCs w:val="20"/>
        </w:rPr>
      </w:pPr>
      <w:r w:rsidRPr="00A0616A">
        <w:rPr>
          <w:rFonts w:eastAsia="宋体" w:cs="Symbol"/>
          <w:i/>
          <w:iCs/>
          <w:sz w:val="20"/>
          <w:szCs w:val="20"/>
        </w:rPr>
        <w:t xml:space="preserve">Option 2: </w:t>
      </w:r>
      <w:r w:rsidRPr="00A0616A">
        <w:rPr>
          <w:rFonts w:eastAsia="宋体" w:cs="Symbol" w:hint="eastAsia"/>
          <w:i/>
          <w:iCs/>
          <w:sz w:val="20"/>
          <w:szCs w:val="20"/>
        </w:rPr>
        <w:t>C</w:t>
      </w:r>
      <w:r w:rsidRPr="00A0616A">
        <w:rPr>
          <w:rFonts w:eastAsia="宋体" w:cs="Symbol"/>
          <w:i/>
          <w:iCs/>
          <w:sz w:val="20"/>
          <w:szCs w:val="20"/>
        </w:rPr>
        <w:t>heck whether eMIMO is to be considered. (Ericsson)</w:t>
      </w:r>
    </w:p>
    <w:p w14:paraId="0A261575" w14:textId="5B34C835" w:rsidR="004714D6" w:rsidRDefault="004714D6" w:rsidP="00D03D70">
      <w:pPr>
        <w:autoSpaceDN w:val="0"/>
        <w:spacing w:before="60"/>
        <w:jc w:val="both"/>
        <w:rPr>
          <w:rFonts w:eastAsia="宋体"/>
          <w:sz w:val="20"/>
          <w:szCs w:val="20"/>
        </w:rPr>
      </w:pPr>
      <w:r>
        <w:rPr>
          <w:rFonts w:eastAsia="宋体" w:hint="eastAsia"/>
          <w:sz w:val="20"/>
          <w:szCs w:val="20"/>
        </w:rPr>
        <w:t>I</w:t>
      </w:r>
      <w:r>
        <w:rPr>
          <w:rFonts w:eastAsia="宋体"/>
          <w:sz w:val="20"/>
          <w:szCs w:val="20"/>
        </w:rPr>
        <w:t>n R15</w:t>
      </w:r>
      <w:r w:rsidR="00BF0ACE">
        <w:rPr>
          <w:rFonts w:eastAsia="宋体"/>
          <w:sz w:val="20"/>
          <w:szCs w:val="20"/>
        </w:rPr>
        <w:t xml:space="preserve">, </w:t>
      </w:r>
      <w:r>
        <w:rPr>
          <w:rFonts w:eastAsia="宋体"/>
          <w:sz w:val="20"/>
          <w:szCs w:val="20"/>
        </w:rPr>
        <w:t xml:space="preserve">the Pathloss </w:t>
      </w:r>
      <w:r w:rsidRPr="004714D6">
        <w:rPr>
          <w:rFonts w:eastAsia="宋体"/>
          <w:sz w:val="20"/>
          <w:szCs w:val="20"/>
        </w:rPr>
        <w:t>reference signal switching</w:t>
      </w:r>
      <w:r>
        <w:rPr>
          <w:rFonts w:eastAsia="宋体"/>
          <w:sz w:val="20"/>
          <w:szCs w:val="20"/>
        </w:rPr>
        <w:t xml:space="preserve"> </w:t>
      </w:r>
      <w:r w:rsidR="00BF0ACE">
        <w:rPr>
          <w:rFonts w:eastAsia="宋体"/>
          <w:sz w:val="20"/>
          <w:szCs w:val="20"/>
        </w:rPr>
        <w:t>relies</w:t>
      </w:r>
      <w:r>
        <w:rPr>
          <w:rFonts w:eastAsia="宋体"/>
          <w:sz w:val="20"/>
          <w:szCs w:val="20"/>
        </w:rPr>
        <w:t xml:space="preserve"> on RRC command, which have large delay, especially when beam direction changes due to UE quick movement. Therefore, the MAC CE based pathloss reference signal switching was involved in R16 eMIMO scope.</w:t>
      </w:r>
    </w:p>
    <w:p w14:paraId="7066695A" w14:textId="0C5A0079" w:rsidR="004714D6" w:rsidRDefault="004714D6" w:rsidP="00D03D70">
      <w:pPr>
        <w:autoSpaceDN w:val="0"/>
        <w:spacing w:before="60"/>
        <w:jc w:val="both"/>
        <w:rPr>
          <w:rFonts w:eastAsia="宋体"/>
          <w:sz w:val="20"/>
          <w:szCs w:val="20"/>
        </w:rPr>
      </w:pPr>
      <w:r>
        <w:rPr>
          <w:rFonts w:eastAsia="宋体"/>
          <w:sz w:val="20"/>
          <w:szCs w:val="20"/>
        </w:rPr>
        <w:t>Based on our understanding, there is no bunding between eMIMO and MAC CE based pathloss reference signal switching. Besides, in ATG network, UE movement is faster than ground UE, it is more important to introduce this feature.</w:t>
      </w:r>
    </w:p>
    <w:p w14:paraId="164FBCD6" w14:textId="312B12CC" w:rsidR="004714D6" w:rsidRPr="009637E6" w:rsidRDefault="004714D6" w:rsidP="004714D6">
      <w:pPr>
        <w:autoSpaceDN w:val="0"/>
        <w:spacing w:before="60"/>
        <w:jc w:val="both"/>
        <w:rPr>
          <w:rFonts w:eastAsia="宋体"/>
          <w:sz w:val="20"/>
          <w:szCs w:val="20"/>
        </w:rPr>
      </w:pPr>
      <w:r>
        <w:rPr>
          <w:rFonts w:eastAsia="宋体"/>
          <w:sz w:val="20"/>
          <w:szCs w:val="20"/>
        </w:rPr>
        <w:t>After checking, we haven’t identified the ATG impaction on p</w:t>
      </w:r>
      <w:r w:rsidRPr="004714D6">
        <w:rPr>
          <w:rFonts w:eastAsia="宋体"/>
          <w:sz w:val="20"/>
          <w:szCs w:val="20"/>
        </w:rPr>
        <w:t>athloss reference signal switching delay</w:t>
      </w:r>
      <w:r>
        <w:rPr>
          <w:rFonts w:eastAsia="宋体"/>
          <w:sz w:val="20"/>
          <w:szCs w:val="20"/>
        </w:rPr>
        <w:t xml:space="preserve"> requirements, we propose to reuse the legacy requirement for ATG.</w:t>
      </w:r>
    </w:p>
    <w:p w14:paraId="74B35E93" w14:textId="529497F9" w:rsidR="004714D6" w:rsidRPr="004714D6" w:rsidRDefault="004714D6" w:rsidP="004714D6">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BF0ACE">
        <w:rPr>
          <w:rFonts w:eastAsia="等线"/>
          <w:b/>
          <w:bCs/>
          <w:i/>
          <w:iCs/>
          <w:sz w:val="20"/>
          <w:szCs w:val="20"/>
        </w:rPr>
        <w:t>3</w:t>
      </w:r>
      <w:r w:rsidRPr="00055A4E">
        <w:rPr>
          <w:rFonts w:eastAsia="等线"/>
          <w:b/>
          <w:bCs/>
          <w:i/>
          <w:iCs/>
          <w:sz w:val="20"/>
          <w:szCs w:val="20"/>
        </w:rPr>
        <w:t>:</w:t>
      </w:r>
      <w:r>
        <w:rPr>
          <w:rFonts w:eastAsia="等线"/>
          <w:b/>
          <w:bCs/>
          <w:i/>
          <w:iCs/>
          <w:sz w:val="20"/>
          <w:szCs w:val="20"/>
        </w:rPr>
        <w:t xml:space="preserve"> </w:t>
      </w:r>
      <w:r w:rsidRPr="004714D6">
        <w:rPr>
          <w:rFonts w:eastAsia="等线"/>
          <w:b/>
          <w:bCs/>
          <w:i/>
          <w:iCs/>
          <w:sz w:val="20"/>
          <w:szCs w:val="20"/>
        </w:rPr>
        <w:t>Reuse the legacy Pathloss reference signal switching delay requirement for ATG</w:t>
      </w:r>
      <w:r>
        <w:rPr>
          <w:rFonts w:eastAsia="等线" w:hint="eastAsia"/>
          <w:b/>
          <w:bCs/>
          <w:i/>
          <w:iCs/>
          <w:sz w:val="20"/>
          <w:szCs w:val="20"/>
        </w:rPr>
        <w:t>.</w:t>
      </w:r>
    </w:p>
    <w:p w14:paraId="389D8C91" w14:textId="77777777" w:rsidR="004714D6" w:rsidRPr="004714D6" w:rsidRDefault="004714D6" w:rsidP="004714D6">
      <w:pPr>
        <w:spacing w:beforeLines="100" w:before="312"/>
        <w:rPr>
          <w:rFonts w:eastAsia="Malgun Gothic" w:cs="Symbol"/>
          <w:b/>
          <w:i/>
          <w:iCs/>
          <w:sz w:val="20"/>
          <w:szCs w:val="20"/>
          <w:u w:val="single"/>
          <w:lang w:eastAsia="ko-KR"/>
        </w:rPr>
      </w:pPr>
      <w:r w:rsidRPr="004714D6">
        <w:rPr>
          <w:rFonts w:eastAsia="Malgun Gothic" w:cs="Symbol"/>
          <w:b/>
          <w:i/>
          <w:iCs/>
          <w:sz w:val="20"/>
          <w:szCs w:val="20"/>
          <w:u w:val="single"/>
          <w:lang w:eastAsia="ko-KR"/>
        </w:rPr>
        <w:t>Issue 4-1-7: Uplink spatial relation switch delay</w:t>
      </w:r>
    </w:p>
    <w:p w14:paraId="0F265C10" w14:textId="77777777" w:rsidR="004714D6" w:rsidRPr="004714D6" w:rsidRDefault="004714D6" w:rsidP="004714D6">
      <w:pPr>
        <w:numPr>
          <w:ilvl w:val="0"/>
          <w:numId w:val="25"/>
        </w:numPr>
        <w:ind w:left="935" w:hanging="357"/>
        <w:rPr>
          <w:rFonts w:eastAsia="宋体" w:cs="Symbol"/>
          <w:i/>
          <w:iCs/>
          <w:sz w:val="20"/>
          <w:szCs w:val="20"/>
        </w:rPr>
      </w:pPr>
      <w:r w:rsidRPr="004714D6">
        <w:rPr>
          <w:rFonts w:eastAsia="宋体" w:cs="Symbol"/>
          <w:i/>
          <w:iCs/>
          <w:sz w:val="20"/>
          <w:szCs w:val="20"/>
        </w:rPr>
        <w:t xml:space="preserve">Option 1: Uplink spatial relation switch delay requirement will not be applicable for R18 ATG. (CMCC, ZTE) </w:t>
      </w:r>
    </w:p>
    <w:p w14:paraId="4DA68CEE" w14:textId="77777777" w:rsidR="004714D6" w:rsidRPr="004714D6" w:rsidRDefault="004714D6" w:rsidP="004714D6">
      <w:pPr>
        <w:numPr>
          <w:ilvl w:val="0"/>
          <w:numId w:val="25"/>
        </w:numPr>
        <w:ind w:left="935" w:hanging="357"/>
        <w:rPr>
          <w:rFonts w:eastAsia="宋体" w:cs="Symbol"/>
          <w:i/>
          <w:iCs/>
          <w:sz w:val="20"/>
          <w:szCs w:val="20"/>
        </w:rPr>
      </w:pPr>
      <w:r w:rsidRPr="004714D6">
        <w:rPr>
          <w:rFonts w:eastAsia="宋体" w:cs="Symbol"/>
          <w:i/>
          <w:iCs/>
          <w:sz w:val="20"/>
          <w:szCs w:val="20"/>
        </w:rPr>
        <w:t xml:space="preserve">Option 2: </w:t>
      </w:r>
      <w:r w:rsidRPr="004714D6">
        <w:rPr>
          <w:rFonts w:eastAsia="宋体" w:cs="Symbol" w:hint="eastAsia"/>
          <w:i/>
          <w:iCs/>
          <w:sz w:val="20"/>
          <w:szCs w:val="20"/>
        </w:rPr>
        <w:t>Reusing legacy requirements of</w:t>
      </w:r>
      <w:r w:rsidRPr="004714D6">
        <w:rPr>
          <w:rFonts w:eastAsia="宋体" w:cs="Symbol"/>
          <w:i/>
          <w:iCs/>
          <w:sz w:val="20"/>
          <w:szCs w:val="20"/>
        </w:rPr>
        <w:t xml:space="preserve"> </w:t>
      </w:r>
      <w:r w:rsidRPr="004714D6">
        <w:rPr>
          <w:rFonts w:eastAsia="宋体" w:cs="Symbol" w:hint="eastAsia"/>
          <w:i/>
          <w:iCs/>
          <w:sz w:val="20"/>
          <w:szCs w:val="20"/>
        </w:rPr>
        <w:t xml:space="preserve">spatial relation switching </w:t>
      </w:r>
      <w:r w:rsidRPr="004714D6">
        <w:rPr>
          <w:rFonts w:eastAsia="宋体" w:cs="Symbol"/>
          <w:i/>
          <w:iCs/>
          <w:sz w:val="20"/>
          <w:szCs w:val="20"/>
        </w:rPr>
        <w:t>for ATG. (Ericsson, CATT)</w:t>
      </w:r>
    </w:p>
    <w:p w14:paraId="73E29F91" w14:textId="1A9CCF4B" w:rsidR="004714D6" w:rsidRDefault="004714D6" w:rsidP="004714D6">
      <w:pPr>
        <w:autoSpaceDN w:val="0"/>
        <w:spacing w:before="60"/>
        <w:jc w:val="both"/>
        <w:rPr>
          <w:rFonts w:eastAsia="宋体"/>
          <w:sz w:val="20"/>
          <w:szCs w:val="20"/>
        </w:rPr>
      </w:pPr>
      <w:r>
        <w:rPr>
          <w:rFonts w:eastAsia="宋体" w:hint="eastAsia"/>
          <w:sz w:val="20"/>
          <w:szCs w:val="20"/>
        </w:rPr>
        <w:t>A</w:t>
      </w:r>
      <w:r>
        <w:rPr>
          <w:rFonts w:eastAsia="宋体"/>
          <w:sz w:val="20"/>
          <w:szCs w:val="20"/>
        </w:rPr>
        <w:t>fter check</w:t>
      </w:r>
      <w:r w:rsidR="005A733A">
        <w:rPr>
          <w:rFonts w:eastAsia="宋体"/>
          <w:sz w:val="20"/>
          <w:szCs w:val="20"/>
        </w:rPr>
        <w:t>ing</w:t>
      </w:r>
      <w:r>
        <w:rPr>
          <w:rFonts w:eastAsia="宋体"/>
          <w:sz w:val="20"/>
          <w:szCs w:val="20"/>
        </w:rPr>
        <w:t>, this requirement is only for FR2</w:t>
      </w:r>
      <w:r w:rsidR="005A733A">
        <w:rPr>
          <w:rFonts w:eastAsia="宋体"/>
          <w:sz w:val="20"/>
          <w:szCs w:val="20"/>
        </w:rPr>
        <w:t xml:space="preserve">, it can be applied when </w:t>
      </w:r>
      <w:r w:rsidR="005A733A" w:rsidRPr="005A733A">
        <w:rPr>
          <w:rFonts w:eastAsia="宋体"/>
          <w:sz w:val="20"/>
          <w:szCs w:val="20"/>
        </w:rPr>
        <w:t xml:space="preserve">UE capability </w:t>
      </w:r>
      <w:r w:rsidR="005A733A" w:rsidRPr="005A733A">
        <w:rPr>
          <w:rFonts w:eastAsia="宋体"/>
          <w:i/>
          <w:iCs/>
          <w:sz w:val="20"/>
          <w:szCs w:val="20"/>
        </w:rPr>
        <w:t>beamCorrespondenceWithoutUL-BeamSweeping</w:t>
      </w:r>
      <w:r w:rsidR="005A733A" w:rsidRPr="005A733A">
        <w:rPr>
          <w:rFonts w:eastAsia="宋体"/>
          <w:sz w:val="20"/>
          <w:szCs w:val="20"/>
        </w:rPr>
        <w:t xml:space="preserve"> set to 1 which is FR2 only capability</w:t>
      </w:r>
      <w:r w:rsidR="005A733A">
        <w:rPr>
          <w:rFonts w:eastAsia="宋体"/>
          <w:sz w:val="20"/>
          <w:szCs w:val="20"/>
        </w:rPr>
        <w:t>.</w:t>
      </w:r>
      <w:r>
        <w:rPr>
          <w:rFonts w:eastAsia="宋体"/>
          <w:sz w:val="20"/>
          <w:szCs w:val="20"/>
        </w:rPr>
        <w:t xml:space="preserve"> </w:t>
      </w:r>
      <w:r w:rsidR="005A733A">
        <w:rPr>
          <w:rFonts w:eastAsia="宋体"/>
          <w:sz w:val="20"/>
          <w:szCs w:val="20"/>
        </w:rPr>
        <w:t xml:space="preserve"> Besides, </w:t>
      </w:r>
      <w:r w:rsidR="005A733A" w:rsidRPr="005A733A">
        <w:rPr>
          <w:rFonts w:eastAsia="宋体"/>
          <w:sz w:val="20"/>
          <w:szCs w:val="20"/>
        </w:rPr>
        <w:t xml:space="preserve">the general RRM assumption that Rx is Omni-directional in FR1, so no Tx beam can be derived from an association to a DL RS. </w:t>
      </w:r>
      <w:r w:rsidR="005A733A">
        <w:rPr>
          <w:rFonts w:eastAsia="宋体"/>
          <w:sz w:val="20"/>
          <w:szCs w:val="20"/>
        </w:rPr>
        <w:t>T</w:t>
      </w:r>
      <w:r>
        <w:rPr>
          <w:rFonts w:eastAsia="宋体"/>
          <w:sz w:val="20"/>
          <w:szCs w:val="20"/>
        </w:rPr>
        <w:t>herefore, it will not be applicable for R18 ATG.</w:t>
      </w:r>
      <w:r w:rsidR="005A733A">
        <w:rPr>
          <w:rFonts w:eastAsia="宋体"/>
          <w:sz w:val="20"/>
          <w:szCs w:val="20"/>
        </w:rPr>
        <w:t xml:space="preserve"> </w:t>
      </w:r>
    </w:p>
    <w:p w14:paraId="58107DCD" w14:textId="2350F3A9" w:rsidR="004714D6" w:rsidRPr="00C56DCA" w:rsidRDefault="004714D6" w:rsidP="004714D6">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BF0ACE">
        <w:rPr>
          <w:rFonts w:eastAsia="等线"/>
          <w:b/>
          <w:bCs/>
          <w:i/>
          <w:iCs/>
          <w:sz w:val="20"/>
          <w:szCs w:val="20"/>
        </w:rPr>
        <w:t>4</w:t>
      </w:r>
      <w:r w:rsidRPr="00055A4E">
        <w:rPr>
          <w:rFonts w:eastAsia="等线"/>
          <w:b/>
          <w:bCs/>
          <w:i/>
          <w:iCs/>
          <w:sz w:val="20"/>
          <w:szCs w:val="20"/>
        </w:rPr>
        <w:t>:</w:t>
      </w:r>
      <w:r>
        <w:rPr>
          <w:rFonts w:eastAsia="等线"/>
          <w:b/>
          <w:bCs/>
          <w:i/>
          <w:iCs/>
          <w:sz w:val="20"/>
          <w:szCs w:val="20"/>
        </w:rPr>
        <w:t xml:space="preserve"> Uplink spatial relation switch delay requirement will not be applicable for R18 ATG. </w:t>
      </w:r>
    </w:p>
    <w:bookmarkEnd w:id="6"/>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7"/>
      <w:bookmarkEnd w:id="8"/>
    </w:p>
    <w:p w14:paraId="7F2B287D" w14:textId="77777777" w:rsidR="00BF0ACE" w:rsidRPr="00D03D70" w:rsidRDefault="00BF0ACE" w:rsidP="00BF0ACE">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1: T</w:t>
      </w:r>
      <w:r w:rsidRPr="00A12103">
        <w:rPr>
          <w:rFonts w:eastAsia="等线"/>
          <w:b/>
          <w:bCs/>
          <w:i/>
          <w:iCs/>
          <w:sz w:val="20"/>
          <w:szCs w:val="20"/>
        </w:rPr>
        <w:t>he legacy Active BWP switching delay requirement</w:t>
      </w:r>
      <w:r>
        <w:rPr>
          <w:rFonts w:eastAsia="等线"/>
          <w:b/>
          <w:bCs/>
          <w:i/>
          <w:iCs/>
          <w:sz w:val="20"/>
          <w:szCs w:val="20"/>
        </w:rPr>
        <w:t xml:space="preserve"> can be reused, </w:t>
      </w:r>
      <w:r w:rsidRPr="00A12103">
        <w:rPr>
          <w:rFonts w:eastAsia="等线"/>
          <w:b/>
          <w:bCs/>
          <w:i/>
          <w:iCs/>
          <w:sz w:val="20"/>
          <w:szCs w:val="20"/>
        </w:rPr>
        <w:t>ATG network will naturally use the requirement of single CC, according to its network deployment.</w:t>
      </w:r>
    </w:p>
    <w:p w14:paraId="217C4E14" w14:textId="77777777" w:rsidR="00BF0ACE" w:rsidRPr="00C56DCA" w:rsidRDefault="00BF0ACE" w:rsidP="00BF0ACE">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2</w:t>
      </w:r>
      <w:r w:rsidRPr="00055A4E">
        <w:rPr>
          <w:rFonts w:eastAsia="等线"/>
          <w:b/>
          <w:bCs/>
          <w:i/>
          <w:iCs/>
          <w:sz w:val="20"/>
          <w:szCs w:val="20"/>
        </w:rPr>
        <w:t>:</w:t>
      </w:r>
      <w:r>
        <w:rPr>
          <w:rFonts w:eastAsia="等线"/>
          <w:b/>
          <w:bCs/>
          <w:i/>
          <w:iCs/>
          <w:sz w:val="20"/>
          <w:szCs w:val="20"/>
        </w:rPr>
        <w:t xml:space="preserve"> Reuse the legacy </w:t>
      </w:r>
      <w:r w:rsidRPr="009637E6">
        <w:rPr>
          <w:rFonts w:eastAsia="等线"/>
          <w:b/>
          <w:bCs/>
          <w:i/>
          <w:iCs/>
          <w:sz w:val="20"/>
          <w:szCs w:val="20"/>
        </w:rPr>
        <w:t>Active downlink TCI state switching delay for unified TCI</w:t>
      </w:r>
      <w:r>
        <w:rPr>
          <w:rFonts w:eastAsia="等线"/>
          <w:b/>
          <w:bCs/>
          <w:i/>
          <w:iCs/>
          <w:sz w:val="20"/>
          <w:szCs w:val="20"/>
        </w:rPr>
        <w:t xml:space="preserve"> and </w:t>
      </w:r>
      <w:r w:rsidRPr="009637E6">
        <w:rPr>
          <w:rFonts w:eastAsia="等线"/>
          <w:b/>
          <w:bCs/>
          <w:i/>
          <w:iCs/>
          <w:sz w:val="20"/>
          <w:szCs w:val="20"/>
        </w:rPr>
        <w:t>Active uplink TCI state switching delay for unified TCI</w:t>
      </w:r>
      <w:r>
        <w:rPr>
          <w:rFonts w:eastAsia="等线"/>
          <w:b/>
          <w:bCs/>
          <w:i/>
          <w:iCs/>
          <w:sz w:val="20"/>
          <w:szCs w:val="20"/>
        </w:rPr>
        <w:t xml:space="preserve"> requirement for ATG.</w:t>
      </w:r>
    </w:p>
    <w:p w14:paraId="26BEAFBC" w14:textId="77777777" w:rsidR="00BF0ACE" w:rsidRPr="004714D6" w:rsidRDefault="00BF0ACE" w:rsidP="00BF0ACE">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3</w:t>
      </w:r>
      <w:r w:rsidRPr="00055A4E">
        <w:rPr>
          <w:rFonts w:eastAsia="等线"/>
          <w:b/>
          <w:bCs/>
          <w:i/>
          <w:iCs/>
          <w:sz w:val="20"/>
          <w:szCs w:val="20"/>
        </w:rPr>
        <w:t>:</w:t>
      </w:r>
      <w:r>
        <w:rPr>
          <w:rFonts w:eastAsia="等线"/>
          <w:b/>
          <w:bCs/>
          <w:i/>
          <w:iCs/>
          <w:sz w:val="20"/>
          <w:szCs w:val="20"/>
        </w:rPr>
        <w:t xml:space="preserve"> </w:t>
      </w:r>
      <w:r w:rsidRPr="004714D6">
        <w:rPr>
          <w:rFonts w:eastAsia="等线"/>
          <w:b/>
          <w:bCs/>
          <w:i/>
          <w:iCs/>
          <w:sz w:val="20"/>
          <w:szCs w:val="20"/>
        </w:rPr>
        <w:t>Reuse the legacy Pathloss reference signal switching delay requirement for ATG</w:t>
      </w:r>
      <w:r>
        <w:rPr>
          <w:rFonts w:eastAsia="等线" w:hint="eastAsia"/>
          <w:b/>
          <w:bCs/>
          <w:i/>
          <w:iCs/>
          <w:sz w:val="20"/>
          <w:szCs w:val="20"/>
        </w:rPr>
        <w:t>.</w:t>
      </w:r>
    </w:p>
    <w:p w14:paraId="2608C39B" w14:textId="77777777" w:rsidR="00BF0ACE" w:rsidRPr="00C56DCA" w:rsidRDefault="00BF0ACE" w:rsidP="00BF0ACE">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4</w:t>
      </w:r>
      <w:r w:rsidRPr="00055A4E">
        <w:rPr>
          <w:rFonts w:eastAsia="等线"/>
          <w:b/>
          <w:bCs/>
          <w:i/>
          <w:iCs/>
          <w:sz w:val="20"/>
          <w:szCs w:val="20"/>
        </w:rPr>
        <w:t>:</w:t>
      </w:r>
      <w:r>
        <w:rPr>
          <w:rFonts w:eastAsia="等线"/>
          <w:b/>
          <w:bCs/>
          <w:i/>
          <w:iCs/>
          <w:sz w:val="20"/>
          <w:szCs w:val="20"/>
        </w:rPr>
        <w:t xml:space="preserve"> Uplink spatial relation switch delay requirement will not be applicable for R18 ATG. </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1FD07607" w14:textId="77777777" w:rsidR="00D20F85" w:rsidRDefault="00D20F85" w:rsidP="00D20F85">
      <w:pPr>
        <w:rPr>
          <w:sz w:val="20"/>
          <w:szCs w:val="20"/>
          <w:lang w:val="en-GB"/>
        </w:rPr>
      </w:pPr>
      <w:r>
        <w:rPr>
          <w:rFonts w:hint="eastAsia"/>
          <w:sz w:val="20"/>
          <w:szCs w:val="20"/>
          <w:lang w:val="en-GB"/>
        </w:rPr>
        <w:t>[</w:t>
      </w:r>
      <w:r>
        <w:rPr>
          <w:sz w:val="20"/>
          <w:szCs w:val="20"/>
          <w:lang w:val="en-GB"/>
        </w:rPr>
        <w:t xml:space="preserve">1] R4-2217256, </w:t>
      </w:r>
      <w:r w:rsidRPr="00E75EFA">
        <w:rPr>
          <w:sz w:val="20"/>
          <w:szCs w:val="20"/>
          <w:lang w:val="en-GB"/>
        </w:rPr>
        <w:t>WF on NR ATG RRM core requirements</w:t>
      </w:r>
      <w:r>
        <w:rPr>
          <w:sz w:val="20"/>
          <w:szCs w:val="20"/>
          <w:lang w:val="en-GB"/>
        </w:rPr>
        <w:t>, CMCC.</w:t>
      </w:r>
    </w:p>
    <w:p w14:paraId="772AD4A1" w14:textId="50C26E60" w:rsidR="002513F6" w:rsidRPr="00452485" w:rsidRDefault="00F02FE9">
      <w:pPr>
        <w:rPr>
          <w:sz w:val="20"/>
          <w:szCs w:val="20"/>
          <w:lang w:val="en-GB"/>
        </w:rPr>
      </w:pPr>
      <w:r>
        <w:rPr>
          <w:rFonts w:hint="eastAsia"/>
          <w:sz w:val="20"/>
          <w:szCs w:val="20"/>
          <w:lang w:val="en-GB"/>
        </w:rPr>
        <w:t>[</w:t>
      </w:r>
      <w:r w:rsidR="00BF0ACE">
        <w:rPr>
          <w:sz w:val="20"/>
          <w:szCs w:val="20"/>
          <w:lang w:val="en-GB"/>
        </w:rPr>
        <w:t>2</w:t>
      </w:r>
      <w:r>
        <w:rPr>
          <w:sz w:val="20"/>
          <w:szCs w:val="20"/>
          <w:lang w:val="en-GB"/>
        </w:rPr>
        <w:t>] R</w:t>
      </w:r>
      <w:r w:rsidR="00E75EFA" w:rsidRPr="00E75EFA">
        <w:rPr>
          <w:sz w:val="20"/>
          <w:szCs w:val="20"/>
          <w:lang w:val="en-GB"/>
        </w:rPr>
        <w:t>4-2214347</w:t>
      </w:r>
      <w:r w:rsidR="00E75EFA">
        <w:rPr>
          <w:sz w:val="20"/>
          <w:szCs w:val="20"/>
          <w:lang w:val="en-GB"/>
        </w:rPr>
        <w:t xml:space="preserve">, </w:t>
      </w:r>
      <w:r w:rsidR="00E75EFA" w:rsidRPr="00E75EFA">
        <w:rPr>
          <w:sz w:val="20"/>
          <w:szCs w:val="20"/>
          <w:lang w:val="en-GB"/>
        </w:rPr>
        <w:t>WF on NR ATG RRM core requirements</w:t>
      </w:r>
      <w:r w:rsidR="00E75EFA">
        <w:rPr>
          <w:sz w:val="20"/>
          <w:szCs w:val="20"/>
          <w:lang w:val="en-GB"/>
        </w:rPr>
        <w:t>, CMCC.</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438FC" w14:textId="77777777" w:rsidR="00502B5C" w:rsidRDefault="00502B5C" w:rsidP="007854C6">
      <w:r>
        <w:separator/>
      </w:r>
    </w:p>
  </w:endnote>
  <w:endnote w:type="continuationSeparator" w:id="0">
    <w:p w14:paraId="2C222430" w14:textId="77777777" w:rsidR="00502B5C" w:rsidRDefault="00502B5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4F930" w14:textId="77777777" w:rsidR="00502B5C" w:rsidRDefault="00502B5C" w:rsidP="007854C6">
      <w:r>
        <w:separator/>
      </w:r>
    </w:p>
  </w:footnote>
  <w:footnote w:type="continuationSeparator" w:id="0">
    <w:p w14:paraId="34DE3188" w14:textId="77777777" w:rsidR="00502B5C" w:rsidRDefault="00502B5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5"/>
  </w:num>
  <w:num w:numId="2" w16cid:durableId="1872185180">
    <w:abstractNumId w:val="8"/>
  </w:num>
  <w:num w:numId="3" w16cid:durableId="1337423769">
    <w:abstractNumId w:val="24"/>
  </w:num>
  <w:num w:numId="4" w16cid:durableId="540900337">
    <w:abstractNumId w:val="5"/>
  </w:num>
  <w:num w:numId="5" w16cid:durableId="366564362">
    <w:abstractNumId w:val="1"/>
  </w:num>
  <w:num w:numId="6" w16cid:durableId="1819103025">
    <w:abstractNumId w:val="21"/>
  </w:num>
  <w:num w:numId="7" w16cid:durableId="545676249">
    <w:abstractNumId w:val="4"/>
  </w:num>
  <w:num w:numId="8" w16cid:durableId="299842338">
    <w:abstractNumId w:val="9"/>
  </w:num>
  <w:num w:numId="9" w16cid:durableId="1004282034">
    <w:abstractNumId w:val="14"/>
  </w:num>
  <w:num w:numId="10" w16cid:durableId="322467064">
    <w:abstractNumId w:val="19"/>
  </w:num>
  <w:num w:numId="11" w16cid:durableId="1869565793">
    <w:abstractNumId w:val="23"/>
  </w:num>
  <w:num w:numId="12" w16cid:durableId="1852134952">
    <w:abstractNumId w:val="6"/>
  </w:num>
  <w:num w:numId="13" w16cid:durableId="1878083882">
    <w:abstractNumId w:val="27"/>
  </w:num>
  <w:num w:numId="14" w16cid:durableId="43993273">
    <w:abstractNumId w:val="6"/>
  </w:num>
  <w:num w:numId="15" w16cid:durableId="1633367473">
    <w:abstractNumId w:val="17"/>
  </w:num>
  <w:num w:numId="16" w16cid:durableId="1268462805">
    <w:abstractNumId w:val="22"/>
  </w:num>
  <w:num w:numId="17" w16cid:durableId="1599175766">
    <w:abstractNumId w:val="26"/>
  </w:num>
  <w:num w:numId="18" w16cid:durableId="678044669">
    <w:abstractNumId w:val="0"/>
  </w:num>
  <w:num w:numId="19" w16cid:durableId="471872988">
    <w:abstractNumId w:val="3"/>
  </w:num>
  <w:num w:numId="20" w16cid:durableId="852033810">
    <w:abstractNumId w:val="11"/>
  </w:num>
  <w:num w:numId="21" w16cid:durableId="289362898">
    <w:abstractNumId w:val="28"/>
  </w:num>
  <w:num w:numId="22" w16cid:durableId="1075930875">
    <w:abstractNumId w:val="16"/>
  </w:num>
  <w:num w:numId="23" w16cid:durableId="6833661">
    <w:abstractNumId w:val="13"/>
  </w:num>
  <w:num w:numId="24" w16cid:durableId="1849522452">
    <w:abstractNumId w:val="10"/>
  </w:num>
  <w:num w:numId="25" w16cid:durableId="50345578">
    <w:abstractNumId w:val="20"/>
  </w:num>
  <w:num w:numId="26" w16cid:durableId="2039237746">
    <w:abstractNumId w:val="25"/>
  </w:num>
  <w:num w:numId="27" w16cid:durableId="837692274">
    <w:abstractNumId w:val="25"/>
  </w:num>
  <w:num w:numId="28" w16cid:durableId="835191808">
    <w:abstractNumId w:val="25"/>
  </w:num>
  <w:num w:numId="29" w16cid:durableId="171653929">
    <w:abstractNumId w:val="25"/>
  </w:num>
  <w:num w:numId="30" w16cid:durableId="127405075">
    <w:abstractNumId w:val="25"/>
  </w:num>
  <w:num w:numId="31" w16cid:durableId="1295987286">
    <w:abstractNumId w:val="25"/>
  </w:num>
  <w:num w:numId="32" w16cid:durableId="34475318">
    <w:abstractNumId w:val="25"/>
  </w:num>
  <w:num w:numId="33" w16cid:durableId="1200584906">
    <w:abstractNumId w:val="25"/>
  </w:num>
  <w:num w:numId="34" w16cid:durableId="170335396">
    <w:abstractNumId w:val="25"/>
  </w:num>
  <w:num w:numId="35" w16cid:durableId="1932540433">
    <w:abstractNumId w:val="25"/>
  </w:num>
  <w:num w:numId="36" w16cid:durableId="886331285">
    <w:abstractNumId w:val="12"/>
  </w:num>
  <w:num w:numId="37" w16cid:durableId="462357247">
    <w:abstractNumId w:val="7"/>
  </w:num>
  <w:num w:numId="38" w16cid:durableId="2020617575">
    <w:abstractNumId w:val="2"/>
  </w:num>
  <w:num w:numId="39" w16cid:durableId="1204753454">
    <w:abstractNumId w:val="18"/>
  </w:num>
  <w:num w:numId="40" w16cid:durableId="1773937576">
    <w:abstractNumId w:val="15"/>
  </w:num>
  <w:num w:numId="41" w16cid:durableId="1008363303">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2B5C"/>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6ED"/>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79"/>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3A7"/>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6D53"/>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ACE"/>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F85"/>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DD"/>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724"/>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0ACE"/>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5890</TotalTime>
  <Pages>2</Pages>
  <Words>707</Words>
  <Characters>4036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18</cp:revision>
  <dcterms:created xsi:type="dcterms:W3CDTF">2022-08-08T10:51:00Z</dcterms:created>
  <dcterms:modified xsi:type="dcterms:W3CDTF">2022-11-07T09:18:00Z</dcterms:modified>
</cp:coreProperties>
</file>